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54" w:rsidRPr="00CC5E54" w:rsidRDefault="00CC5E54" w:rsidP="00CC5E54">
      <w:pPr>
        <w:spacing w:after="0" w:line="276" w:lineRule="auto"/>
        <w:jc w:val="both"/>
        <w:rPr>
          <w:rFonts w:ascii="Arial" w:hAnsi="Arial" w:cs="Arial"/>
          <w:b/>
          <w:szCs w:val="24"/>
        </w:rPr>
      </w:pPr>
      <w:bookmarkStart w:id="0" w:name="_GoBack"/>
      <w:bookmarkEnd w:id="0"/>
      <w:r w:rsidRPr="00CC5E54">
        <w:rPr>
          <w:rFonts w:ascii="Arial" w:hAnsi="Arial" w:cs="Arial"/>
          <w:b/>
          <w:szCs w:val="24"/>
        </w:rPr>
        <w:t xml:space="preserve">DIP. ERIK JOSÉ RIHANI GONZÁLEZ. </w:t>
      </w:r>
    </w:p>
    <w:p w:rsidR="00CC5E54" w:rsidRPr="00CC5E54" w:rsidRDefault="00CC5E54" w:rsidP="00CC5E54">
      <w:pPr>
        <w:spacing w:after="0" w:line="276" w:lineRule="auto"/>
        <w:jc w:val="both"/>
        <w:rPr>
          <w:rFonts w:ascii="Arial" w:hAnsi="Arial" w:cs="Arial"/>
          <w:b/>
          <w:szCs w:val="24"/>
        </w:rPr>
      </w:pPr>
      <w:r w:rsidRPr="00CC5E54">
        <w:rPr>
          <w:rFonts w:ascii="Arial" w:hAnsi="Arial" w:cs="Arial"/>
          <w:b/>
          <w:szCs w:val="24"/>
        </w:rPr>
        <w:t xml:space="preserve">PRESIDENTE DE LA MESA DIRECTIVA DEL CONGRESO DEL ESTADO DE YUCATÁN </w:t>
      </w:r>
    </w:p>
    <w:p w:rsidR="00CC5E54" w:rsidRPr="00CC5E54" w:rsidRDefault="00CC5E54" w:rsidP="00CC5E54">
      <w:pPr>
        <w:spacing w:after="0" w:line="276" w:lineRule="auto"/>
        <w:jc w:val="both"/>
        <w:rPr>
          <w:rFonts w:ascii="Arial" w:hAnsi="Arial" w:cs="Arial"/>
          <w:b/>
          <w:szCs w:val="24"/>
        </w:rPr>
      </w:pPr>
      <w:r w:rsidRPr="00CC5E54">
        <w:rPr>
          <w:rFonts w:ascii="Arial" w:hAnsi="Arial" w:cs="Arial"/>
          <w:b/>
          <w:szCs w:val="24"/>
        </w:rPr>
        <w:t>P R E S E N T E.</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 xml:space="preserve">El suscrito, Rafael Alejandro Echazarreta Torres, integrante de la Fracción Legislativa de Morena de la LXIII legislatura de este Honorable Congreso del Estado 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me permito presentar ante esta Honorable Soberanía, la </w:t>
      </w:r>
      <w:r w:rsidRPr="00CC5E54">
        <w:rPr>
          <w:rFonts w:ascii="Arial" w:hAnsi="Arial" w:cs="Arial"/>
          <w:b/>
          <w:szCs w:val="24"/>
        </w:rPr>
        <w:t>INICIATIVA CON PROYECTO DE DECRETO QUE MODIFICA EL CÓDIGO PENAL DEL ESTADO DE YUCATÁN, EN MATERIA DE ESTABLECIMIENTO COMO DELITO GRAVE LOS DELITOS RELACIONADOS CON EL USO DE PROGRAMAS SOCIALES CON FINES ELECTORALES</w:t>
      </w:r>
      <w:r w:rsidRPr="00CC5E54">
        <w:rPr>
          <w:rFonts w:ascii="Arial" w:hAnsi="Arial" w:cs="Arial"/>
          <w:szCs w:val="24"/>
        </w:rPr>
        <w:t>, a partir de la siguiente,</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center"/>
        <w:rPr>
          <w:rFonts w:ascii="Arial" w:hAnsi="Arial" w:cs="Arial"/>
          <w:b/>
          <w:szCs w:val="24"/>
        </w:rPr>
      </w:pPr>
      <w:r w:rsidRPr="00CC5E54">
        <w:rPr>
          <w:rFonts w:ascii="Arial" w:hAnsi="Arial" w:cs="Arial"/>
          <w:b/>
          <w:szCs w:val="24"/>
        </w:rPr>
        <w:t>EXPOSICIÓN DE MOTIVOS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En el mes de abril del año 2019, se publicó en el Diario Oficial de la Federación la reforma al artículo 19 de la Constitución Política de los Estados Unidos Mexicanos, en materia de prisión preventiva oficiosa para establecer como delito grave el uso de programas sociales con fines electorales.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La Ley General en Materia de Delitos Electorales establece la concurrencia de las autoridades federales y locales para la investigación de los delitos.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Siendo que los estatales tienen la facultad de investigar y sancionar los delitos electorales cometidos por los servidores públicos locales en las elecciones del ámbito local.</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La preocupación por que los gobernantes no metan las manos en los procesos electorales es muy añeja. Gran parte de las reglas electorales en México están relacionadas con exigencias de equidad en la contienda y uno de los medios para lograrlo es que el partido en el gobierno no abuse del poder para generarse apoyos indebidos.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Los delitos electorales en México tienen como objeto sancionar las conductas más graves que afectan la garantía del voto libre, secreto y universal. Esta figura instrumental, a muchos años de su configuración normativa está pasando por una fuerte crisis derivada de su falta de efectividad.</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Actualmente son mínimas las sanciones efectuadas por las autoridades responsables, estamos hablando que pueden ser millones las personas coaccionadas, compradas o amenazadas para votar por un partido político o candidato, como también que durante los procesos de proselitismo se utilizaron recursos públicos o programas sociales a cambio del voto.</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En síntesis, los delitos electorales en el contexto actual no son funcionales por dos motivos, el primero porque no inhiben conductas ilícitas relacionadas con su objeto; y segundo, no se han presentado resultados efectivos en el tema de procuración de justicia penal electoral.</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Es por ello que ante el inminente proceso electoral que se aproxima es necesario que Yucatán se blinde de las prácticas desleales que amenazan a nuestro sistema electoral y establezca en su catálogo de delitos graves el uso de programas sociales con fines electorales.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ind w:firstLine="709"/>
        <w:jc w:val="both"/>
        <w:rPr>
          <w:rFonts w:ascii="Arial" w:hAnsi="Arial" w:cs="Arial"/>
          <w:szCs w:val="24"/>
        </w:rPr>
      </w:pPr>
      <w:r w:rsidRPr="00CC5E54">
        <w:rPr>
          <w:rFonts w:ascii="Arial" w:hAnsi="Arial" w:cs="Arial"/>
          <w:szCs w:val="24"/>
        </w:rPr>
        <w:t xml:space="preserve">Es por las consideraciones anteriores que presento ante este Pleno la </w:t>
      </w:r>
      <w:r w:rsidRPr="00CC5E54">
        <w:rPr>
          <w:rFonts w:ascii="Arial" w:hAnsi="Arial" w:cs="Arial"/>
          <w:b/>
          <w:szCs w:val="24"/>
        </w:rPr>
        <w:t>INICIATIVA CON PROYECTO DE DECRETO QUE MODIFICA EL CÓDIGO PENAL DEL ESTADO DE YUCATÁN, EN MATERIA DE ESTABLECIMIENTO COMO DELITO GRAVE LOS DELITOS RELACIONADOS CON EL USO DE PROGRAMAS SOCIALES CON FINES ELECTORALES</w:t>
      </w:r>
      <w:r w:rsidRPr="00CC5E54">
        <w:rPr>
          <w:rFonts w:ascii="Arial" w:hAnsi="Arial" w:cs="Arial"/>
          <w:szCs w:val="24"/>
        </w:rPr>
        <w:t>, en los siguientes términos:</w:t>
      </w:r>
    </w:p>
    <w:p w:rsidR="00CC5E54" w:rsidRPr="00CC5E54" w:rsidRDefault="00CC5E54" w:rsidP="00CC5E54">
      <w:pPr>
        <w:spacing w:line="276" w:lineRule="auto"/>
        <w:jc w:val="both"/>
        <w:rPr>
          <w:rFonts w:ascii="Arial" w:hAnsi="Arial" w:cs="Arial"/>
          <w:szCs w:val="24"/>
        </w:rPr>
      </w:pPr>
    </w:p>
    <w:p w:rsidR="00CC5E54" w:rsidRPr="00CC5E54" w:rsidRDefault="00CC5E54" w:rsidP="00CC5E54">
      <w:pPr>
        <w:spacing w:line="276" w:lineRule="auto"/>
        <w:jc w:val="center"/>
        <w:rPr>
          <w:rFonts w:ascii="Arial" w:hAnsi="Arial" w:cs="Arial"/>
          <w:b/>
          <w:szCs w:val="24"/>
        </w:rPr>
      </w:pPr>
      <w:r w:rsidRPr="00CC5E54">
        <w:rPr>
          <w:rFonts w:ascii="Arial" w:hAnsi="Arial" w:cs="Arial"/>
          <w:b/>
          <w:szCs w:val="24"/>
        </w:rPr>
        <w:t>DECRETO</w:t>
      </w:r>
    </w:p>
    <w:p w:rsidR="00CC5E54" w:rsidRPr="00CC5E54" w:rsidRDefault="00CC5E54" w:rsidP="00CC5E54">
      <w:pPr>
        <w:spacing w:line="276" w:lineRule="auto"/>
        <w:jc w:val="center"/>
        <w:rPr>
          <w:rFonts w:ascii="Arial" w:hAnsi="Arial" w:cs="Arial"/>
          <w:b/>
          <w:szCs w:val="24"/>
        </w:rPr>
      </w:pPr>
    </w:p>
    <w:p w:rsidR="00CC5E54" w:rsidRDefault="00CC5E54" w:rsidP="00CC5E54">
      <w:pPr>
        <w:spacing w:after="0" w:line="240" w:lineRule="auto"/>
        <w:jc w:val="center"/>
        <w:rPr>
          <w:rFonts w:ascii="Arial" w:hAnsi="Arial" w:cs="Arial"/>
          <w:b/>
          <w:szCs w:val="24"/>
        </w:rPr>
      </w:pPr>
      <w:r w:rsidRPr="00CC5E54">
        <w:rPr>
          <w:rFonts w:ascii="Arial" w:hAnsi="Arial" w:cs="Arial"/>
          <w:b/>
          <w:szCs w:val="24"/>
        </w:rPr>
        <w:t xml:space="preserve">Que modifica el Código Penal del Estado de Yucatán, en materia </w:t>
      </w:r>
    </w:p>
    <w:p w:rsidR="00CC5E54" w:rsidRPr="00CC5E54" w:rsidRDefault="00CC5E54" w:rsidP="00CC5E54">
      <w:pPr>
        <w:spacing w:after="0" w:line="240" w:lineRule="auto"/>
        <w:jc w:val="center"/>
        <w:rPr>
          <w:rFonts w:ascii="Arial" w:hAnsi="Arial" w:cs="Arial"/>
          <w:b/>
          <w:szCs w:val="24"/>
        </w:rPr>
      </w:pPr>
      <w:r w:rsidRPr="00CC5E54">
        <w:rPr>
          <w:rFonts w:ascii="Arial" w:hAnsi="Arial" w:cs="Arial"/>
          <w:b/>
          <w:szCs w:val="24"/>
        </w:rPr>
        <w:t>de establecimiento como delito grave los delitos relacionados con el uso de programas sociales.</w:t>
      </w:r>
    </w:p>
    <w:p w:rsidR="00CC5E54" w:rsidRPr="00CC5E54" w:rsidRDefault="00CC5E54" w:rsidP="00CC5E54">
      <w:pPr>
        <w:spacing w:line="276" w:lineRule="auto"/>
        <w:jc w:val="both"/>
        <w:rPr>
          <w:rFonts w:ascii="Arial" w:hAnsi="Arial" w:cs="Arial"/>
          <w:b/>
          <w:szCs w:val="24"/>
        </w:rPr>
      </w:pPr>
    </w:p>
    <w:p w:rsidR="00CC5E54" w:rsidRDefault="00CC5E54" w:rsidP="00CC5E54">
      <w:pPr>
        <w:spacing w:line="276" w:lineRule="auto"/>
        <w:jc w:val="both"/>
        <w:rPr>
          <w:rFonts w:ascii="Arial" w:hAnsi="Arial" w:cs="Arial"/>
          <w:szCs w:val="24"/>
        </w:rPr>
      </w:pPr>
      <w:r w:rsidRPr="00CC5E54">
        <w:rPr>
          <w:rFonts w:ascii="Arial" w:hAnsi="Arial" w:cs="Arial"/>
          <w:b/>
          <w:szCs w:val="24"/>
        </w:rPr>
        <w:t>Artículo único.</w:t>
      </w:r>
      <w:r w:rsidRPr="00CC5E54">
        <w:rPr>
          <w:rFonts w:ascii="Arial" w:hAnsi="Arial" w:cs="Arial"/>
          <w:szCs w:val="24"/>
        </w:rPr>
        <w:t xml:space="preserve"> Se reforman el primer párrafo primero del artículo 13 del Código Penal del Estado de Yucatán, para quedar como sigue: </w:t>
      </w:r>
    </w:p>
    <w:p w:rsidR="00CC5E54" w:rsidRPr="00CC5E54" w:rsidRDefault="00CC5E54" w:rsidP="00CC5E54">
      <w:pPr>
        <w:spacing w:line="276" w:lineRule="auto"/>
        <w:jc w:val="both"/>
        <w:rPr>
          <w:rFonts w:ascii="Arial" w:hAnsi="Arial" w:cs="Arial"/>
          <w:szCs w:val="24"/>
        </w:rPr>
      </w:pPr>
      <w:r w:rsidRPr="00CC5E54">
        <w:rPr>
          <w:rFonts w:ascii="Arial" w:hAnsi="Arial" w:cs="Arial"/>
          <w:szCs w:val="24"/>
        </w:rPr>
        <w:t>Artículo 13. Para todos los efectos legales, por afectar de manera importante valores fundamentales de la sociedad, se califican como delitos graves los siguientes: contra el</w:t>
      </w:r>
      <w:r>
        <w:rPr>
          <w:rFonts w:ascii="Arial" w:hAnsi="Arial" w:cs="Arial"/>
          <w:szCs w:val="24"/>
        </w:rPr>
        <w:t xml:space="preserve"> </w:t>
      </w:r>
      <w:r w:rsidRPr="00CC5E54">
        <w:rPr>
          <w:rFonts w:ascii="Arial" w:hAnsi="Arial" w:cs="Arial"/>
          <w:szCs w:val="24"/>
        </w:rPr>
        <w:t>orden constitucional previsto por el articulo 137; rebelión, previsto por el artículo 139;</w:t>
      </w:r>
      <w:r>
        <w:rPr>
          <w:rFonts w:ascii="Arial" w:hAnsi="Arial" w:cs="Arial"/>
          <w:szCs w:val="24"/>
        </w:rPr>
        <w:t xml:space="preserve"> </w:t>
      </w:r>
      <w:r w:rsidRPr="00CC5E54">
        <w:rPr>
          <w:rFonts w:ascii="Arial" w:hAnsi="Arial" w:cs="Arial"/>
          <w:szCs w:val="24"/>
        </w:rPr>
        <w:t>evasión de presos, previsto por el artículo 153; corrupción de menores e incapaces,</w:t>
      </w:r>
      <w:r>
        <w:rPr>
          <w:rFonts w:ascii="Arial" w:hAnsi="Arial" w:cs="Arial"/>
          <w:szCs w:val="24"/>
        </w:rPr>
        <w:t xml:space="preserve"> </w:t>
      </w:r>
      <w:r w:rsidRPr="00CC5E54">
        <w:rPr>
          <w:rFonts w:ascii="Arial" w:hAnsi="Arial" w:cs="Arial"/>
          <w:szCs w:val="24"/>
        </w:rPr>
        <w:t>previsto por el artículo 208; trata de menores, previsto por el artículo 210; pornografía</w:t>
      </w:r>
      <w:r>
        <w:rPr>
          <w:rFonts w:ascii="Arial" w:hAnsi="Arial" w:cs="Arial"/>
          <w:szCs w:val="24"/>
        </w:rPr>
        <w:t xml:space="preserve"> </w:t>
      </w:r>
      <w:r w:rsidRPr="00CC5E54">
        <w:rPr>
          <w:rFonts w:ascii="Arial" w:hAnsi="Arial" w:cs="Arial"/>
          <w:szCs w:val="24"/>
        </w:rPr>
        <w:t xml:space="preserve">infantil, previsto por el artículo 211; incesto, previsto por el artículo 227; allanamiento de morada con violencia previsto en el segundo párrafo del artículo 236; asalto previsto por los artículos 237, 239 y 240; privación ilegal de la libertad, previsto por los artículos 241 fracción I y 242; </w:t>
      </w:r>
      <w:r w:rsidRPr="00CC5E54">
        <w:rPr>
          <w:rFonts w:ascii="Arial" w:hAnsi="Arial" w:cs="Arial"/>
          <w:szCs w:val="24"/>
        </w:rPr>
        <w:lastRenderedPageBreak/>
        <w:t xml:space="preserve">tortura previsto en la Ley General para </w:t>
      </w:r>
      <w:r w:rsidR="00AD56F4" w:rsidRPr="00CC5E54">
        <w:rPr>
          <w:rFonts w:ascii="Arial" w:hAnsi="Arial" w:cs="Arial"/>
          <w:szCs w:val="24"/>
        </w:rPr>
        <w:t>Prevenir</w:t>
      </w:r>
      <w:r w:rsidR="00AD56F4">
        <w:rPr>
          <w:rFonts w:ascii="Arial" w:hAnsi="Arial" w:cs="Arial"/>
          <w:szCs w:val="24"/>
        </w:rPr>
        <w:t>,</w:t>
      </w:r>
      <w:r w:rsidR="00AD56F4" w:rsidRPr="00CC5E54">
        <w:rPr>
          <w:rFonts w:ascii="Arial" w:hAnsi="Arial" w:cs="Arial"/>
          <w:szCs w:val="24"/>
        </w:rPr>
        <w:t xml:space="preserve"> Investigar</w:t>
      </w:r>
      <w:r w:rsidRPr="00CC5E54">
        <w:rPr>
          <w:rFonts w:ascii="Arial" w:hAnsi="Arial" w:cs="Arial"/>
          <w:szCs w:val="24"/>
        </w:rPr>
        <w:t xml:space="preserve"> y Sancionar la Tortura y Otros Tratos o Penas Crueles, Inhumanos o Degradantes; </w:t>
      </w:r>
      <w:r w:rsidRPr="00AD56F4">
        <w:rPr>
          <w:rFonts w:ascii="Arial" w:hAnsi="Arial" w:cs="Arial"/>
          <w:b/>
          <w:szCs w:val="24"/>
        </w:rPr>
        <w:t>uso de programas sociales con fines electorales previsto en la Ley General en Materia de Delitos Electorales;</w:t>
      </w:r>
      <w:r w:rsidRPr="00CC5E54">
        <w:rPr>
          <w:rFonts w:ascii="Arial" w:hAnsi="Arial" w:cs="Arial"/>
          <w:szCs w:val="24"/>
        </w:rPr>
        <w:t xml:space="preserve"> falsificación de </w:t>
      </w:r>
      <w:r w:rsidR="00AD56F4" w:rsidRPr="00CC5E54">
        <w:rPr>
          <w:rFonts w:ascii="Arial" w:hAnsi="Arial" w:cs="Arial"/>
          <w:szCs w:val="24"/>
        </w:rPr>
        <w:t>documentos</w:t>
      </w:r>
      <w:r w:rsidR="00AD56F4">
        <w:rPr>
          <w:rFonts w:ascii="Arial" w:hAnsi="Arial" w:cs="Arial"/>
          <w:szCs w:val="24"/>
        </w:rPr>
        <w:t>,</w:t>
      </w:r>
      <w:r w:rsidR="00AD56F4" w:rsidRPr="00CC5E54">
        <w:rPr>
          <w:rFonts w:ascii="Arial" w:hAnsi="Arial" w:cs="Arial"/>
          <w:szCs w:val="24"/>
        </w:rPr>
        <w:t xml:space="preserve"> previsto</w:t>
      </w:r>
      <w:r w:rsidRPr="00CC5E54">
        <w:rPr>
          <w:rFonts w:ascii="Arial" w:hAnsi="Arial" w:cs="Arial"/>
          <w:szCs w:val="24"/>
        </w:rPr>
        <w:t xml:space="preserve"> en el artículo 284-bis; abuso sexual previsto en los artículos 309 y 310; </w:t>
      </w:r>
      <w:r w:rsidR="00AD56F4" w:rsidRPr="00CC5E54">
        <w:rPr>
          <w:rFonts w:ascii="Arial" w:hAnsi="Arial" w:cs="Arial"/>
          <w:szCs w:val="24"/>
        </w:rPr>
        <w:t>violación</w:t>
      </w:r>
      <w:r w:rsidR="00935B5E">
        <w:rPr>
          <w:rFonts w:ascii="Arial" w:hAnsi="Arial" w:cs="Arial"/>
          <w:szCs w:val="24"/>
        </w:rPr>
        <w:t>,</w:t>
      </w:r>
      <w:r w:rsidR="00AD56F4" w:rsidRPr="00CC5E54">
        <w:rPr>
          <w:rFonts w:ascii="Arial" w:hAnsi="Arial" w:cs="Arial"/>
          <w:szCs w:val="24"/>
        </w:rPr>
        <w:t xml:space="preserve"> previsto</w:t>
      </w:r>
      <w:r w:rsidRPr="00CC5E54">
        <w:rPr>
          <w:rFonts w:ascii="Arial" w:hAnsi="Arial" w:cs="Arial"/>
          <w:szCs w:val="24"/>
        </w:rPr>
        <w:t xml:space="preserve"> por el artículo 313; violación </w:t>
      </w:r>
      <w:r w:rsidR="00AD56F4" w:rsidRPr="00CC5E54">
        <w:rPr>
          <w:rFonts w:ascii="Arial" w:hAnsi="Arial" w:cs="Arial"/>
          <w:szCs w:val="24"/>
        </w:rPr>
        <w:t>equiparada</w:t>
      </w:r>
      <w:r w:rsidR="00AD56F4">
        <w:rPr>
          <w:rFonts w:ascii="Arial" w:hAnsi="Arial" w:cs="Arial"/>
          <w:szCs w:val="24"/>
        </w:rPr>
        <w:t>,</w:t>
      </w:r>
      <w:r w:rsidR="00AD56F4" w:rsidRPr="00CC5E54">
        <w:rPr>
          <w:rFonts w:ascii="Arial" w:hAnsi="Arial" w:cs="Arial"/>
          <w:szCs w:val="24"/>
        </w:rPr>
        <w:t xml:space="preserve"> definido</w:t>
      </w:r>
      <w:r w:rsidRPr="00CC5E54">
        <w:rPr>
          <w:rFonts w:ascii="Arial" w:hAnsi="Arial" w:cs="Arial"/>
          <w:szCs w:val="24"/>
        </w:rPr>
        <w:t xml:space="preserve"> por el articulo 315; robo calificado previsto en la fracción I del artículo 335</w:t>
      </w:r>
      <w:r w:rsidR="00AD56F4">
        <w:rPr>
          <w:rFonts w:ascii="Arial" w:hAnsi="Arial" w:cs="Arial"/>
          <w:szCs w:val="24"/>
        </w:rPr>
        <w:t xml:space="preserve">, </w:t>
      </w:r>
      <w:r w:rsidRPr="00CC5E54">
        <w:rPr>
          <w:rFonts w:ascii="Arial" w:hAnsi="Arial" w:cs="Arial"/>
          <w:szCs w:val="24"/>
        </w:rPr>
        <w:t xml:space="preserve">independientemente del importe de lo robado; así como en las demás fracciones del mismo </w:t>
      </w:r>
      <w:r w:rsidR="00AD56F4" w:rsidRPr="00CC5E54">
        <w:rPr>
          <w:rFonts w:ascii="Arial" w:hAnsi="Arial" w:cs="Arial"/>
          <w:szCs w:val="24"/>
        </w:rPr>
        <w:t>artículo</w:t>
      </w:r>
      <w:r w:rsidRPr="00CC5E54">
        <w:rPr>
          <w:rFonts w:ascii="Arial" w:hAnsi="Arial" w:cs="Arial"/>
          <w:szCs w:val="24"/>
        </w:rPr>
        <w:t xml:space="preserve"> cuando el importe sea el establecido en las fracciones III o IV del numeral 333; robo con violencia previsto en el </w:t>
      </w:r>
      <w:r w:rsidR="00AD56F4" w:rsidRPr="00CC5E54">
        <w:rPr>
          <w:rFonts w:ascii="Arial" w:hAnsi="Arial" w:cs="Arial"/>
          <w:szCs w:val="24"/>
        </w:rPr>
        <w:t>artículo</w:t>
      </w:r>
      <w:r w:rsidRPr="00CC5E54">
        <w:rPr>
          <w:rFonts w:ascii="Arial" w:hAnsi="Arial" w:cs="Arial"/>
          <w:szCs w:val="24"/>
        </w:rPr>
        <w:t xml:space="preserve"> 330, en relación con el 336; robo relacionado con vehículo </w:t>
      </w:r>
      <w:r w:rsidR="00AD56F4" w:rsidRPr="00CC5E54">
        <w:rPr>
          <w:rFonts w:ascii="Arial" w:hAnsi="Arial" w:cs="Arial"/>
          <w:szCs w:val="24"/>
        </w:rPr>
        <w:t>automotor previsto</w:t>
      </w:r>
      <w:r w:rsidRPr="00CC5E54">
        <w:rPr>
          <w:rFonts w:ascii="Arial" w:hAnsi="Arial" w:cs="Arial"/>
          <w:szCs w:val="24"/>
        </w:rPr>
        <w:t xml:space="preserve"> en el </w:t>
      </w:r>
      <w:r w:rsidR="00AD56F4" w:rsidRPr="00CC5E54">
        <w:rPr>
          <w:rFonts w:ascii="Arial" w:hAnsi="Arial" w:cs="Arial"/>
          <w:szCs w:val="24"/>
        </w:rPr>
        <w:t>artículo</w:t>
      </w:r>
      <w:r w:rsidRPr="00CC5E54">
        <w:rPr>
          <w:rFonts w:ascii="Arial" w:hAnsi="Arial" w:cs="Arial"/>
          <w:szCs w:val="24"/>
        </w:rPr>
        <w:t xml:space="preserve"> 338</w:t>
      </w:r>
      <w:r w:rsidR="00935B5E">
        <w:rPr>
          <w:rFonts w:ascii="Arial" w:hAnsi="Arial" w:cs="Arial"/>
          <w:szCs w:val="24"/>
        </w:rPr>
        <w:t xml:space="preserve">, </w:t>
      </w:r>
      <w:r w:rsidRPr="00CC5E54">
        <w:rPr>
          <w:rFonts w:ascii="Arial" w:hAnsi="Arial" w:cs="Arial"/>
          <w:szCs w:val="24"/>
        </w:rPr>
        <w:t>fracciones I, II</w:t>
      </w:r>
      <w:r w:rsidR="00935B5E">
        <w:rPr>
          <w:rFonts w:ascii="Arial" w:hAnsi="Arial" w:cs="Arial"/>
          <w:szCs w:val="24"/>
        </w:rPr>
        <w:t>,</w:t>
      </w:r>
      <w:r w:rsidRPr="00CC5E54">
        <w:rPr>
          <w:rFonts w:ascii="Arial" w:hAnsi="Arial" w:cs="Arial"/>
          <w:szCs w:val="24"/>
        </w:rPr>
        <w:t xml:space="preserve">IV y VI; robo de ganado </w:t>
      </w:r>
      <w:r w:rsidR="00AD56F4" w:rsidRPr="00CC5E54">
        <w:rPr>
          <w:rFonts w:ascii="Arial" w:hAnsi="Arial" w:cs="Arial"/>
          <w:szCs w:val="24"/>
        </w:rPr>
        <w:t>mayor previsto</w:t>
      </w:r>
      <w:r w:rsidRPr="00CC5E54">
        <w:rPr>
          <w:rFonts w:ascii="Arial" w:hAnsi="Arial" w:cs="Arial"/>
          <w:szCs w:val="24"/>
        </w:rPr>
        <w:t xml:space="preserve"> por el artículo 339</w:t>
      </w:r>
      <w:r w:rsidR="00935B5E">
        <w:rPr>
          <w:rFonts w:ascii="Arial" w:hAnsi="Arial" w:cs="Arial"/>
          <w:szCs w:val="24"/>
        </w:rPr>
        <w:t xml:space="preserve">, </w:t>
      </w:r>
      <w:r w:rsidRPr="00CC5E54">
        <w:rPr>
          <w:rFonts w:ascii="Arial" w:hAnsi="Arial" w:cs="Arial"/>
          <w:szCs w:val="24"/>
        </w:rPr>
        <w:t xml:space="preserve">a partir de dos piezas; robo de ganado </w:t>
      </w:r>
      <w:r w:rsidR="00AD56F4" w:rsidRPr="00CC5E54">
        <w:rPr>
          <w:rFonts w:ascii="Arial" w:hAnsi="Arial" w:cs="Arial"/>
          <w:szCs w:val="24"/>
        </w:rPr>
        <w:t>menor</w:t>
      </w:r>
      <w:r w:rsidR="00935B5E">
        <w:rPr>
          <w:rFonts w:ascii="Arial" w:hAnsi="Arial" w:cs="Arial"/>
          <w:szCs w:val="24"/>
        </w:rPr>
        <w:t>,</w:t>
      </w:r>
      <w:r w:rsidR="00AD56F4" w:rsidRPr="00CC5E54">
        <w:rPr>
          <w:rFonts w:ascii="Arial" w:hAnsi="Arial" w:cs="Arial"/>
          <w:szCs w:val="24"/>
        </w:rPr>
        <w:t xml:space="preserve"> previsto</w:t>
      </w:r>
      <w:r w:rsidRPr="00CC5E54">
        <w:rPr>
          <w:rFonts w:ascii="Arial" w:hAnsi="Arial" w:cs="Arial"/>
          <w:szCs w:val="24"/>
        </w:rPr>
        <w:t xml:space="preserve"> por el artículo 340</w:t>
      </w:r>
      <w:r w:rsidR="00935B5E">
        <w:rPr>
          <w:rFonts w:ascii="Arial" w:hAnsi="Arial" w:cs="Arial"/>
          <w:szCs w:val="24"/>
        </w:rPr>
        <w:t xml:space="preserve">, </w:t>
      </w:r>
      <w:r w:rsidRPr="00CC5E54">
        <w:rPr>
          <w:rFonts w:ascii="Arial" w:hAnsi="Arial" w:cs="Arial"/>
          <w:szCs w:val="24"/>
        </w:rPr>
        <w:t>cuando el importe de lo robado sea el establecido en la fracción IV del artículo 333; las conductas previstas en el artículo 347; daño en propiedad ajena por incendio o explosión previsto por los artículos 348 y 349; lesiones, previsto por los artículos 360, 361</w:t>
      </w:r>
      <w:r w:rsidR="00935B5E">
        <w:rPr>
          <w:rFonts w:ascii="Arial" w:hAnsi="Arial" w:cs="Arial"/>
          <w:szCs w:val="24"/>
        </w:rPr>
        <w:t>,</w:t>
      </w:r>
      <w:r w:rsidRPr="00CC5E54">
        <w:rPr>
          <w:rFonts w:ascii="Arial" w:hAnsi="Arial" w:cs="Arial"/>
          <w:szCs w:val="24"/>
        </w:rPr>
        <w:t>362 y 363; homicidio doloso, previsto por el artículo 368</w:t>
      </w:r>
      <w:r w:rsidR="00935B5E">
        <w:rPr>
          <w:rFonts w:ascii="Arial" w:hAnsi="Arial" w:cs="Arial"/>
          <w:szCs w:val="24"/>
        </w:rPr>
        <w:t>,</w:t>
      </w:r>
      <w:r w:rsidRPr="00CC5E54">
        <w:rPr>
          <w:rFonts w:ascii="Arial" w:hAnsi="Arial" w:cs="Arial"/>
          <w:szCs w:val="24"/>
        </w:rPr>
        <w:t>en relación con el 372</w:t>
      </w:r>
      <w:r w:rsidR="00935B5E">
        <w:rPr>
          <w:rFonts w:ascii="Arial" w:hAnsi="Arial" w:cs="Arial"/>
          <w:szCs w:val="24"/>
        </w:rPr>
        <w:t>,</w:t>
      </w:r>
      <w:r w:rsidRPr="00CC5E54">
        <w:rPr>
          <w:rFonts w:ascii="Arial" w:hAnsi="Arial" w:cs="Arial"/>
          <w:szCs w:val="24"/>
        </w:rPr>
        <w:t xml:space="preserve">378, 384 y 385; homicidio en razón del parentesco o relación, previsto en el artículo 394, y feminicidio, previsto en el artículo 394 </w:t>
      </w:r>
      <w:proofErr w:type="spellStart"/>
      <w:r w:rsidRPr="00CC5E54">
        <w:rPr>
          <w:rFonts w:ascii="Arial" w:hAnsi="Arial" w:cs="Arial"/>
          <w:szCs w:val="24"/>
        </w:rPr>
        <w:t>Quinquies</w:t>
      </w:r>
      <w:proofErr w:type="spellEnd"/>
      <w:r w:rsidRPr="00CC5E54">
        <w:rPr>
          <w:rFonts w:ascii="Arial" w:hAnsi="Arial" w:cs="Arial"/>
          <w:szCs w:val="24"/>
        </w:rPr>
        <w:t>.</w:t>
      </w:r>
    </w:p>
    <w:p w:rsidR="00CC5E54" w:rsidRPr="00CC5E54" w:rsidRDefault="00CC5E54" w:rsidP="00CC5E54">
      <w:pPr>
        <w:spacing w:line="276" w:lineRule="auto"/>
        <w:jc w:val="both"/>
        <w:rPr>
          <w:rFonts w:ascii="Arial" w:hAnsi="Arial" w:cs="Arial"/>
          <w:b/>
          <w:szCs w:val="24"/>
        </w:rPr>
      </w:pPr>
    </w:p>
    <w:p w:rsidR="00CC5E54" w:rsidRPr="00CC5E54" w:rsidRDefault="00CC5E54" w:rsidP="00CC5E54">
      <w:pPr>
        <w:spacing w:line="276" w:lineRule="auto"/>
        <w:jc w:val="center"/>
        <w:rPr>
          <w:rFonts w:ascii="Arial" w:hAnsi="Arial" w:cs="Arial"/>
          <w:b/>
          <w:szCs w:val="24"/>
        </w:rPr>
      </w:pPr>
      <w:r w:rsidRPr="00CC5E54">
        <w:rPr>
          <w:rFonts w:ascii="Arial" w:hAnsi="Arial" w:cs="Arial"/>
          <w:b/>
          <w:szCs w:val="24"/>
        </w:rPr>
        <w:t>Transitorios</w:t>
      </w:r>
    </w:p>
    <w:p w:rsidR="00CC5E54" w:rsidRPr="00CC5E54" w:rsidRDefault="00CC5E54" w:rsidP="00CC5E54">
      <w:pPr>
        <w:spacing w:line="276" w:lineRule="auto"/>
        <w:jc w:val="both"/>
        <w:rPr>
          <w:rFonts w:ascii="Arial" w:hAnsi="Arial" w:cs="Arial"/>
          <w:b/>
          <w:szCs w:val="24"/>
        </w:rPr>
      </w:pPr>
    </w:p>
    <w:p w:rsidR="00CC5E54" w:rsidRPr="00CC5E54" w:rsidRDefault="00CC5E54" w:rsidP="00CC5E54">
      <w:pPr>
        <w:spacing w:line="276" w:lineRule="auto"/>
        <w:jc w:val="both"/>
        <w:rPr>
          <w:rFonts w:ascii="Arial" w:hAnsi="Arial" w:cs="Arial"/>
          <w:b/>
          <w:szCs w:val="24"/>
        </w:rPr>
      </w:pPr>
      <w:r w:rsidRPr="00CC5E54">
        <w:rPr>
          <w:rFonts w:ascii="Arial" w:hAnsi="Arial" w:cs="Arial"/>
          <w:b/>
          <w:szCs w:val="24"/>
        </w:rPr>
        <w:t xml:space="preserve">Entrada en vigor </w:t>
      </w:r>
    </w:p>
    <w:p w:rsidR="00CC5E54" w:rsidRPr="00CC5E54" w:rsidRDefault="00CC5E54" w:rsidP="00CC5E54">
      <w:pPr>
        <w:spacing w:line="276" w:lineRule="auto"/>
        <w:jc w:val="both"/>
        <w:rPr>
          <w:rFonts w:ascii="Arial" w:hAnsi="Arial" w:cs="Arial"/>
          <w:szCs w:val="24"/>
        </w:rPr>
      </w:pPr>
      <w:r w:rsidRPr="00CC5E54">
        <w:rPr>
          <w:rFonts w:ascii="Arial" w:hAnsi="Arial" w:cs="Arial"/>
          <w:b/>
          <w:szCs w:val="24"/>
        </w:rPr>
        <w:t>Artículo primero</w:t>
      </w:r>
      <w:r w:rsidRPr="00CC5E54">
        <w:rPr>
          <w:rFonts w:ascii="Arial" w:hAnsi="Arial" w:cs="Arial"/>
          <w:szCs w:val="24"/>
        </w:rPr>
        <w:t>. Este decreto entrará en vigor al día siguiente de su publicación en el Diario Oficial del Gobierno del Estado de Yucatán</w:t>
      </w:r>
    </w:p>
    <w:p w:rsidR="00CC5E54" w:rsidRPr="00CC5E54" w:rsidRDefault="00CC5E54" w:rsidP="00CC5E54">
      <w:pPr>
        <w:spacing w:line="276" w:lineRule="auto"/>
        <w:jc w:val="both"/>
        <w:rPr>
          <w:rFonts w:ascii="Arial" w:hAnsi="Arial" w:cs="Arial"/>
          <w:szCs w:val="24"/>
        </w:rPr>
      </w:pPr>
    </w:p>
    <w:p w:rsidR="00CC5E54" w:rsidRDefault="00CC5E54" w:rsidP="00CC5E54">
      <w:pPr>
        <w:spacing w:line="276" w:lineRule="auto"/>
        <w:ind w:firstLine="709"/>
        <w:jc w:val="both"/>
        <w:rPr>
          <w:rFonts w:ascii="Arial" w:hAnsi="Arial" w:cs="Arial"/>
          <w:szCs w:val="24"/>
        </w:rPr>
      </w:pPr>
      <w:r w:rsidRPr="00CC5E54">
        <w:rPr>
          <w:rFonts w:ascii="Arial" w:hAnsi="Arial" w:cs="Arial"/>
          <w:szCs w:val="24"/>
        </w:rPr>
        <w:t>Protesto lo necesario en la ciudad de Mérida, Yucatán, a los 31 días del mes de octubre del año dos mil veintitrés.</w:t>
      </w:r>
    </w:p>
    <w:p w:rsidR="00AD56F4" w:rsidRDefault="00AD56F4" w:rsidP="00CC5E54">
      <w:pPr>
        <w:spacing w:line="276" w:lineRule="auto"/>
        <w:ind w:firstLine="709"/>
        <w:jc w:val="both"/>
        <w:rPr>
          <w:rFonts w:ascii="Arial" w:hAnsi="Arial" w:cs="Arial"/>
          <w:szCs w:val="24"/>
        </w:rPr>
      </w:pPr>
    </w:p>
    <w:p w:rsidR="00AD56F4" w:rsidRDefault="00AD56F4" w:rsidP="00CC5E54">
      <w:pPr>
        <w:spacing w:line="276" w:lineRule="auto"/>
        <w:ind w:firstLine="709"/>
        <w:jc w:val="both"/>
        <w:rPr>
          <w:rFonts w:ascii="Arial" w:hAnsi="Arial" w:cs="Arial"/>
          <w:szCs w:val="24"/>
        </w:rPr>
      </w:pPr>
    </w:p>
    <w:p w:rsidR="00AD56F4" w:rsidRPr="00AD56F4" w:rsidRDefault="00AD56F4" w:rsidP="00AD56F4">
      <w:pPr>
        <w:spacing w:line="240" w:lineRule="auto"/>
        <w:ind w:firstLine="709"/>
        <w:jc w:val="center"/>
        <w:rPr>
          <w:rFonts w:ascii="Arial" w:hAnsi="Arial" w:cs="Arial"/>
          <w:b/>
          <w:szCs w:val="24"/>
        </w:rPr>
      </w:pPr>
      <w:r w:rsidRPr="00AD56F4">
        <w:rPr>
          <w:rFonts w:ascii="Arial" w:hAnsi="Arial" w:cs="Arial"/>
          <w:b/>
          <w:szCs w:val="24"/>
        </w:rPr>
        <w:t>DIPUTADO</w:t>
      </w:r>
    </w:p>
    <w:p w:rsidR="00AD56F4" w:rsidRPr="00AD56F4" w:rsidRDefault="00AD56F4" w:rsidP="00AD56F4">
      <w:pPr>
        <w:spacing w:line="240" w:lineRule="auto"/>
        <w:ind w:firstLine="709"/>
        <w:jc w:val="center"/>
        <w:rPr>
          <w:rFonts w:ascii="Arial" w:hAnsi="Arial" w:cs="Arial"/>
          <w:b/>
          <w:szCs w:val="24"/>
        </w:rPr>
      </w:pPr>
      <w:r w:rsidRPr="00AD56F4">
        <w:rPr>
          <w:rFonts w:ascii="Arial" w:hAnsi="Arial" w:cs="Arial"/>
          <w:b/>
          <w:szCs w:val="24"/>
        </w:rPr>
        <w:t>RAFAEL ECHAZARRETA TORRES</w:t>
      </w:r>
    </w:p>
    <w:sectPr w:rsidR="00AD56F4" w:rsidRPr="00AD56F4" w:rsidSect="00CC5E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54"/>
    <w:rsid w:val="0000498E"/>
    <w:rsid w:val="00022354"/>
    <w:rsid w:val="00030AF4"/>
    <w:rsid w:val="000326F1"/>
    <w:rsid w:val="0005260C"/>
    <w:rsid w:val="00062C11"/>
    <w:rsid w:val="00071D89"/>
    <w:rsid w:val="0007221C"/>
    <w:rsid w:val="00072D1E"/>
    <w:rsid w:val="000A3D30"/>
    <w:rsid w:val="000E6DB2"/>
    <w:rsid w:val="000E6FCA"/>
    <w:rsid w:val="000F4AA4"/>
    <w:rsid w:val="0013774A"/>
    <w:rsid w:val="0015038B"/>
    <w:rsid w:val="00166054"/>
    <w:rsid w:val="00177AC3"/>
    <w:rsid w:val="00180FE2"/>
    <w:rsid w:val="00185A9C"/>
    <w:rsid w:val="001A7EE9"/>
    <w:rsid w:val="001B1F67"/>
    <w:rsid w:val="001C08C1"/>
    <w:rsid w:val="001D5EDC"/>
    <w:rsid w:val="001D75D8"/>
    <w:rsid w:val="001F3759"/>
    <w:rsid w:val="001F7D48"/>
    <w:rsid w:val="0020244F"/>
    <w:rsid w:val="0021252B"/>
    <w:rsid w:val="00222BB7"/>
    <w:rsid w:val="00230FAE"/>
    <w:rsid w:val="002941CF"/>
    <w:rsid w:val="00295836"/>
    <w:rsid w:val="002C714C"/>
    <w:rsid w:val="002D310D"/>
    <w:rsid w:val="002D7A9F"/>
    <w:rsid w:val="0032417B"/>
    <w:rsid w:val="00394CCC"/>
    <w:rsid w:val="003B3CE1"/>
    <w:rsid w:val="003F31E4"/>
    <w:rsid w:val="00404993"/>
    <w:rsid w:val="004129F3"/>
    <w:rsid w:val="00412A4C"/>
    <w:rsid w:val="00430623"/>
    <w:rsid w:val="00474574"/>
    <w:rsid w:val="004756A1"/>
    <w:rsid w:val="004B687F"/>
    <w:rsid w:val="004C494A"/>
    <w:rsid w:val="004E1AD4"/>
    <w:rsid w:val="004E4FDC"/>
    <w:rsid w:val="004E6696"/>
    <w:rsid w:val="005161C1"/>
    <w:rsid w:val="00566640"/>
    <w:rsid w:val="00583C72"/>
    <w:rsid w:val="005A71D3"/>
    <w:rsid w:val="005D3806"/>
    <w:rsid w:val="005F6138"/>
    <w:rsid w:val="005F7AD3"/>
    <w:rsid w:val="00602CF2"/>
    <w:rsid w:val="006266F0"/>
    <w:rsid w:val="006344BE"/>
    <w:rsid w:val="00670AFE"/>
    <w:rsid w:val="006A07BD"/>
    <w:rsid w:val="006C3341"/>
    <w:rsid w:val="006D0541"/>
    <w:rsid w:val="006D2F37"/>
    <w:rsid w:val="00702D39"/>
    <w:rsid w:val="00735E21"/>
    <w:rsid w:val="007402A6"/>
    <w:rsid w:val="00754126"/>
    <w:rsid w:val="0076222B"/>
    <w:rsid w:val="00773D3F"/>
    <w:rsid w:val="0078451D"/>
    <w:rsid w:val="0079331C"/>
    <w:rsid w:val="007D06AB"/>
    <w:rsid w:val="007D6040"/>
    <w:rsid w:val="008124B3"/>
    <w:rsid w:val="008364AC"/>
    <w:rsid w:val="008679E3"/>
    <w:rsid w:val="00885178"/>
    <w:rsid w:val="00891B57"/>
    <w:rsid w:val="00897127"/>
    <w:rsid w:val="00897ECA"/>
    <w:rsid w:val="008A2162"/>
    <w:rsid w:val="008D27BC"/>
    <w:rsid w:val="008E340C"/>
    <w:rsid w:val="008F52A1"/>
    <w:rsid w:val="008F7C79"/>
    <w:rsid w:val="0091627B"/>
    <w:rsid w:val="00935B5E"/>
    <w:rsid w:val="00937C6E"/>
    <w:rsid w:val="00945DF2"/>
    <w:rsid w:val="0096023C"/>
    <w:rsid w:val="009A2A92"/>
    <w:rsid w:val="009C2D43"/>
    <w:rsid w:val="009D4466"/>
    <w:rsid w:val="009E74C9"/>
    <w:rsid w:val="00A00D43"/>
    <w:rsid w:val="00A26A52"/>
    <w:rsid w:val="00A44C66"/>
    <w:rsid w:val="00A86EC2"/>
    <w:rsid w:val="00A87CFF"/>
    <w:rsid w:val="00AC0620"/>
    <w:rsid w:val="00AD56F4"/>
    <w:rsid w:val="00B02AA0"/>
    <w:rsid w:val="00B46723"/>
    <w:rsid w:val="00B57116"/>
    <w:rsid w:val="00B615DC"/>
    <w:rsid w:val="00B96B59"/>
    <w:rsid w:val="00BA138B"/>
    <w:rsid w:val="00BA48A1"/>
    <w:rsid w:val="00BB3333"/>
    <w:rsid w:val="00BF5C1B"/>
    <w:rsid w:val="00C30FD8"/>
    <w:rsid w:val="00C42266"/>
    <w:rsid w:val="00C67A20"/>
    <w:rsid w:val="00C71D44"/>
    <w:rsid w:val="00CA0FC1"/>
    <w:rsid w:val="00CB1C7C"/>
    <w:rsid w:val="00CC5E54"/>
    <w:rsid w:val="00D16F50"/>
    <w:rsid w:val="00D47250"/>
    <w:rsid w:val="00D60C51"/>
    <w:rsid w:val="00D6233E"/>
    <w:rsid w:val="00DB43A5"/>
    <w:rsid w:val="00DD4DC7"/>
    <w:rsid w:val="00DF4F4A"/>
    <w:rsid w:val="00E113CA"/>
    <w:rsid w:val="00E135F9"/>
    <w:rsid w:val="00E35D1F"/>
    <w:rsid w:val="00E4318F"/>
    <w:rsid w:val="00E8223C"/>
    <w:rsid w:val="00E90A35"/>
    <w:rsid w:val="00EA4637"/>
    <w:rsid w:val="00EB2735"/>
    <w:rsid w:val="00EB66C0"/>
    <w:rsid w:val="00EC6B0B"/>
    <w:rsid w:val="00EE365B"/>
    <w:rsid w:val="00EF2477"/>
    <w:rsid w:val="00EF32CC"/>
    <w:rsid w:val="00F25545"/>
    <w:rsid w:val="00F3157A"/>
    <w:rsid w:val="00F33D8B"/>
    <w:rsid w:val="00F349AD"/>
    <w:rsid w:val="00F47B7F"/>
    <w:rsid w:val="00F848D7"/>
    <w:rsid w:val="00F90892"/>
    <w:rsid w:val="00FB2B97"/>
    <w:rsid w:val="00FC76E1"/>
    <w:rsid w:val="00FE505E"/>
    <w:rsid w:val="00FF0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9DCB4-7FC3-41B5-B846-3A59E8B0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B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Delmy</cp:lastModifiedBy>
  <cp:revision>2</cp:revision>
  <cp:lastPrinted>2023-11-08T20:05:00Z</cp:lastPrinted>
  <dcterms:created xsi:type="dcterms:W3CDTF">2023-11-08T20:11:00Z</dcterms:created>
  <dcterms:modified xsi:type="dcterms:W3CDTF">2023-11-08T20:11:00Z</dcterms:modified>
</cp:coreProperties>
</file>